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Services Client Intake &amp; Onboarding</w:t>
      </w:r>
    </w:p>
    <w:p>
      <w:pPr>
        <w:pStyle w:val="Heading2"/>
      </w:pPr>
      <w:r>
        <w:t>Quick Start</w:t>
      </w:r>
    </w:p>
    <w:p>
      <w:r>
        <w:t>Welcome to Services Client Intake &amp; Onboarding.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